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59" w:lineRule="auto"/>
        <w:jc w:val="center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Formato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59" w:lineRule="auto"/>
        <w:jc w:val="center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59" w:lineRule="auto"/>
        <w:jc w:val="center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CERTIFICACIÓN DE APLICACIÓN DE NORMAS DE PREVENCIÓN Y CONTROL DEL LAVADO DE ACTIVOS Y FINANCIACIÓN DEL TERRORISMO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59" w:lineRule="auto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59" w:lineRule="auto"/>
        <w:jc w:val="both"/>
        <w:rPr>
          <w:rFonts w:ascii="Century Gothic" w:cs="Century Gothic" w:eastAsia="Century Gothic" w:hAnsi="Century Gothic"/>
          <w:color w:val="e36c0a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e36c0a"/>
          <w:vertAlign w:val="baseline"/>
          <w:rtl w:val="0"/>
        </w:rPr>
        <w:t xml:space="preserve">Ciudad y Fecha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59" w:lineRule="auto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59" w:lineRule="auto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Señores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59" w:lineRule="auto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ALCLADIA MUNICIPAL DE MAICAO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59" w:lineRule="auto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DIRECCIÓN DE CONTRATACIÓN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59" w:lineRule="auto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59" w:lineRule="auto"/>
        <w:jc w:val="both"/>
        <w:rPr>
          <w:rFonts w:ascii="Century Gothic" w:cs="Century Gothic" w:eastAsia="Century Gothic" w:hAnsi="Century Gothic"/>
          <w:color w:val="e36c0a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REFERENCIA: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PROCESO DE </w:t>
      </w:r>
      <w:r w:rsidDel="00000000" w:rsidR="00000000" w:rsidRPr="00000000">
        <w:rPr>
          <w:rFonts w:ascii="Century Gothic" w:cs="Century Gothic" w:eastAsia="Century Gothic" w:hAnsi="Century Gothic"/>
          <w:b w:val="1"/>
          <w:color w:val="e36c0a"/>
          <w:vertAlign w:val="baseline"/>
          <w:rtl w:val="0"/>
        </w:rPr>
        <w:t xml:space="preserve">SELECCIÓN MCXXXXXXXXXXXXX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59" w:lineRule="auto"/>
        <w:jc w:val="both"/>
        <w:rPr>
          <w:rFonts w:ascii="Century Gothic" w:cs="Century Gothic" w:eastAsia="Century Gothic" w:hAnsi="Century Gothic"/>
          <w:color w:val="e36c0a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Objeto:</w:t>
      </w:r>
      <w:r w:rsidDel="00000000" w:rsidR="00000000" w:rsidRPr="00000000">
        <w:rPr>
          <w:rFonts w:ascii="Century Gothic" w:cs="Century Gothic" w:eastAsia="Century Gothic" w:hAnsi="Century Gothic"/>
          <w:b w:val="1"/>
          <w:color w:val="e36c0a"/>
          <w:vertAlign w:val="baseline"/>
          <w:rtl w:val="0"/>
        </w:rPr>
        <w:t xml:space="preserve"> 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59" w:lineRule="auto"/>
        <w:jc w:val="both"/>
        <w:rPr>
          <w:rFonts w:ascii="Century Gothic" w:cs="Century Gothic" w:eastAsia="Century Gothic" w:hAnsi="Century Gothic"/>
          <w:color w:val="e36c0a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59" w:lineRule="auto"/>
        <w:jc w:val="both"/>
        <w:rPr>
          <w:rFonts w:ascii="Century Gothic" w:cs="Century Gothic" w:eastAsia="Century Gothic" w:hAnsi="Century Gothic"/>
          <w:color w:val="e36c0a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59" w:lineRule="auto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Proponente:</w:t>
      </w:r>
      <w:r w:rsidDel="00000000" w:rsidR="00000000" w:rsidRPr="00000000">
        <w:rPr>
          <w:rFonts w:ascii="Century Gothic" w:cs="Century Gothic" w:eastAsia="Century Gothic" w:hAnsi="Century Gothic"/>
          <w:color w:val="ffc000"/>
          <w:vertAlign w:val="baseline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ab/>
        <w:t xml:space="preserve">____________________________________________________________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(nombres y apellidos completos), 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identificado con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(cédula de ciudadanía, cédula de extranjería o pasaporte, según el caso)</w:t>
      </w:r>
      <w:r w:rsidDel="00000000" w:rsidR="00000000" w:rsidRPr="00000000">
        <w:rPr>
          <w:rFonts w:ascii="Century Gothic" w:cs="Century Gothic" w:eastAsia="Century Gothic" w:hAnsi="Century Gothic"/>
          <w:color w:val="e36c0a"/>
          <w:vertAlign w:val="baseline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No. ________________ expedida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 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o expedido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 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en _____________ 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ciudad o país, según si se trata de las dos primeras o del tercero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, en condición de representante legal 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(personas jurídicas nacionales y extranjeras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, representante convencional 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Proponentes Plurales: Consorcios, Uniones Temporales y Promesas de Sociedad Futura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, representante en Colombia 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si la persona jurídica extranjera resuelve obrar por intermedio del que está en el deber de constituir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 o apoderado 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si se opta por concurrir a través de mandatario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, de ___________________ 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Denominación o Razón Social del Proponente Individual o denominación acordada para el Proponente Plural, en consonancia con los Estatutos Sociales, el Convenio de Consorcio o de Unión Temporal o el Contrato de Promesa de Sociedad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, integrado por ________________ 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denominación o razón social de cada uno de los integrantes del Proponente Plural, en su caso, también según los estatutos sociales y con indicación de su respectivo domicilio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, con domicilio en ______, 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ciudad y país, si se trata de Proponentes Individuales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),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 debidamente autorizado para el efecto como se comprueba con el soporte No. ___ 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indicar el asignado en el Índice al documento que acredita la personería adjetiva de quien suscribe el compromiso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, manifiesta irrevocablemente la voluntad de la Empresa, sus accionistas (</w:t>
      </w:r>
      <w:r w:rsidDel="00000000" w:rsidR="00000000" w:rsidRPr="00000000">
        <w:rPr>
          <w:rFonts w:ascii="Century Gothic" w:cs="Century Gothic" w:eastAsia="Century Gothic" w:hAnsi="Century Gothic"/>
          <w:color w:val="e36c0a"/>
          <w:vertAlign w:val="baseline"/>
          <w:rtl w:val="0"/>
        </w:rPr>
        <w:t xml:space="preserve">salvo sociedades abiertas o inscritas en bolsas de valores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) y administradores (</w:t>
      </w:r>
      <w:r w:rsidDel="00000000" w:rsidR="00000000" w:rsidRPr="00000000">
        <w:rPr>
          <w:rFonts w:ascii="Century Gothic" w:cs="Century Gothic" w:eastAsia="Century Gothic" w:hAnsi="Century Gothic"/>
          <w:color w:val="e36c0a"/>
          <w:vertAlign w:val="baseline"/>
          <w:rtl w:val="0"/>
        </w:rPr>
        <w:t xml:space="preserve">de las Empresas, sus respectivos accionistas, también salvo sociedades abiertas o inscritas en bolsas de valores, y administradores, en casos de Proponentes Plurales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) manifiesto que 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(</w:t>
      </w:r>
      <w:r w:rsidDel="00000000" w:rsidR="00000000" w:rsidRPr="00000000">
        <w:rPr>
          <w:rFonts w:ascii="Century Gothic" w:cs="Century Gothic" w:eastAsia="Century Gothic" w:hAnsi="Century Gothic"/>
          <w:i w:val="1"/>
          <w:color w:val="e36c0a"/>
          <w:vertAlign w:val="baseline"/>
          <w:rtl w:val="0"/>
        </w:rPr>
        <w:t xml:space="preserve">se cuenta o no</w:t>
      </w:r>
      <w:r w:rsidDel="00000000" w:rsidR="00000000" w:rsidRPr="00000000">
        <w:rPr>
          <w:rFonts w:ascii="Century Gothic" w:cs="Century Gothic" w:eastAsia="Century Gothic" w:hAnsi="Century Gothic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 con un SISTEMA DE PREVENCIÓN Y CONTROL DE  LAVADO DE ACTIVOS Y FINANCIAMIENTO DEL TERRORISMO, el cual cumple a cabalidad con las normas colombianas que le son aplicables. En virtud de lo anterior se certifica que: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240" w:lineRule="auto"/>
        <w:ind w:left="720" w:right="49" w:hanging="360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e36c0a"/>
          <w:vertAlign w:val="baseline"/>
          <w:rtl w:val="0"/>
        </w:rPr>
        <w:t xml:space="preserve">EL PROPONENTE</w:t>
      </w:r>
      <w:r w:rsidDel="00000000" w:rsidR="00000000" w:rsidRPr="00000000">
        <w:rPr>
          <w:rFonts w:ascii="Century Gothic" w:cs="Century Gothic" w:eastAsia="Century Gothic" w:hAnsi="Century Gothic"/>
          <w:color w:val="e36c0a"/>
          <w:vertAlign w:val="baseline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da cumplimiento a las normas y regulaciones colombianas relacionadas con la prevención y control al lavado de activos y financiamiento del terrorismo que le son aplicables.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="240" w:lineRule="auto"/>
        <w:ind w:left="720" w:right="49" w:hanging="360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e36c0a"/>
          <w:vertAlign w:val="baseline"/>
          <w:rtl w:val="0"/>
        </w:rPr>
        <w:t xml:space="preserve">EL PROPONENTE</w:t>
      </w:r>
      <w:r w:rsidDel="00000000" w:rsidR="00000000" w:rsidRPr="00000000">
        <w:rPr>
          <w:rFonts w:ascii="Century Gothic" w:cs="Century Gothic" w:eastAsia="Century Gothic" w:hAnsi="Century Gothic"/>
          <w:color w:val="e36c0a"/>
          <w:vertAlign w:val="baseline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right="49" w:hanging="360"/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e36c0a"/>
          <w:vertAlign w:val="baseline"/>
          <w:rtl w:val="0"/>
        </w:rPr>
        <w:t xml:space="preserve">EL PROPONENTE</w:t>
      </w:r>
      <w:r w:rsidDel="00000000" w:rsidR="00000000" w:rsidRPr="00000000">
        <w:rPr>
          <w:rFonts w:ascii="Century Gothic" w:cs="Century Gothic" w:eastAsia="Century Gothic" w:hAnsi="Century Gothic"/>
          <w:color w:val="e36c0a"/>
          <w:vertAlign w:val="baseline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(y/o alguno de sus integrantes en caso de proponentes plurales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vertAlign w:val="baseline"/>
          <w:rtl w:val="0"/>
        </w:rPr>
        <w:t xml:space="preserve">) </w:t>
      </w:r>
      <w:r w:rsidDel="00000000" w:rsidR="00000000" w:rsidRPr="00000000">
        <w:rPr>
          <w:rFonts w:ascii="Century Gothic" w:cs="Century Gothic" w:eastAsia="Century Gothic" w:hAnsi="Century Gothic"/>
          <w:color w:val="e36c0a"/>
          <w:vertAlign w:val="baseline"/>
          <w:rtl w:val="0"/>
        </w:rPr>
        <w:t xml:space="preserve">Si/NO </w:t>
      </w: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han sido sancionados por violación de las leyes relacionadas con el Lavado de Activos y Financiación de Terrorismo.</w:t>
      </w:r>
    </w:p>
    <w:p w:rsidR="00000000" w:rsidDel="00000000" w:rsidP="00000000" w:rsidRDefault="00000000" w:rsidRPr="00000000" w14:paraId="00000013">
      <w:pPr>
        <w:spacing w:line="259" w:lineRule="auto"/>
        <w:ind w:right="49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59" w:lineRule="auto"/>
        <w:ind w:right="49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Se autoriza a EL MUNICIPIO,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:rsidR="00000000" w:rsidDel="00000000" w:rsidP="00000000" w:rsidRDefault="00000000" w:rsidRPr="00000000" w14:paraId="00000015">
      <w:pPr>
        <w:spacing w:line="259" w:lineRule="auto"/>
        <w:ind w:right="49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59" w:lineRule="auto"/>
        <w:ind w:left="426" w:firstLine="0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Firma Representante Legal del Proponente o del Proponente Persona Natural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59" w:lineRule="auto"/>
        <w:ind w:left="426" w:firstLine="0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Nombre: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59" w:lineRule="auto"/>
        <w:ind w:left="426" w:firstLine="0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Cargo: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59" w:lineRule="auto"/>
        <w:ind w:left="426" w:firstLine="0"/>
        <w:jc w:val="both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Documento de Identidad: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59" w:lineRule="auto"/>
        <w:ind w:left="426" w:firstLine="0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vertAlign w:val="baseline"/>
          <w:rtl w:val="0"/>
        </w:rPr>
        <w:t xml:space="preserve">Correo Electrónico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59" w:lineRule="auto"/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828"/>
        </w:tabs>
        <w:jc w:val="both"/>
        <w:rPr>
          <w:rFonts w:ascii="Century Gothic" w:cs="Century Gothic" w:eastAsia="Century Gothic" w:hAnsi="Century Gothic"/>
          <w:i w:val="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entury Gothic" w:cs="Century Gothic" w:eastAsia="Century Gothic" w:hAnsi="Century Gothic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vertAlign w:val="baseline"/>
          <w:rtl w:val="0"/>
        </w:rPr>
        <w:t xml:space="preserve"> </w:t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8711" w:w="12191" w:orient="portrait"/>
      <w:pgMar w:bottom="2410" w:top="1418" w:left="1701" w:right="1701" w:header="1701" w:footer="45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masis MT Pro Light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column">
                <wp:posOffset>2717800</wp:posOffset>
              </wp:positionH>
              <wp:positionV relativeFrom="paragraph">
                <wp:posOffset>-55879</wp:posOffset>
              </wp:positionV>
              <wp:extent cx="3636645" cy="109537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32440" y="3237075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Calle 12 # 11 - 36 Centro Administrativo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Municipal CAM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(5) 7268233 – Fax 8930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HYPERLINK "http://www.maicao-laguajira.gov.co"</w:t>
                          </w: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u w:val="single"/>
                              <w:vertAlign w:val="baseline"/>
                            </w:rPr>
                            <w:t xml:space="preserve">www.maicao-laguajira.gov.co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u w:val="single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HYPERLINK "mailto:oficinadecontratacion@maicao-laguajira.gov.co"</w:t>
                          </w: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563c1"/>
                              <w:sz w:val="20"/>
                              <w:u w:val="single"/>
                              <w:vertAlign w:val="baseline"/>
                            </w:rPr>
                            <w:t xml:space="preserve">oficinadecontratacion@maicao-laguajira.gov.co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88.0000114440918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u w:val="single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column">
                <wp:posOffset>2717800</wp:posOffset>
              </wp:positionH>
              <wp:positionV relativeFrom="paragraph">
                <wp:posOffset>-55879</wp:posOffset>
              </wp:positionV>
              <wp:extent cx="3636645" cy="1095375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36645" cy="10953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pict>
        <v:shape id="WordPictureWatermark1" style="position:absolute;width:467.0pt;height:18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pict>
        <v:shape id="WordPictureWatermark2" style="position:absolute;width:467.0pt;height:18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-209549</wp:posOffset>
          </wp:positionH>
          <wp:positionV relativeFrom="paragraph">
            <wp:posOffset>-845818</wp:posOffset>
          </wp:positionV>
          <wp:extent cx="2038350" cy="973455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30693" l="4772" r="78825" t="30735"/>
                  <a:stretch>
                    <a:fillRect/>
                  </a:stretch>
                </pic:blipFill>
                <pic:spPr>
                  <a:xfrm>
                    <a:off x="0" y="0"/>
                    <a:ext cx="2038350" cy="973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3524250</wp:posOffset>
          </wp:positionH>
          <wp:positionV relativeFrom="paragraph">
            <wp:posOffset>-882014</wp:posOffset>
          </wp:positionV>
          <wp:extent cx="2266950" cy="979170"/>
          <wp:effectExtent b="0" l="0" r="0" t="0"/>
          <wp:wrapSquare wrapText="bothSides" distB="0" distT="0" distL="114300" distR="114300"/>
          <wp:docPr id="4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58095" l="59453" r="21635" t="27366"/>
                  <a:stretch>
                    <a:fillRect/>
                  </a:stretch>
                </pic:blipFill>
                <pic:spPr>
                  <a:xfrm>
                    <a:off x="0" y="0"/>
                    <a:ext cx="2266950" cy="97917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masis MT Pro Light" w:cs="Amasis MT Pro Light" w:eastAsia="Amasis MT Pro Light" w:hAnsi="Amasis MT Pro Ligh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masis MT Pro Light" w:cs="Amasis MT Pro Light" w:eastAsia="Amasis MT Pro Light" w:hAnsi="Amasis MT Pro Ligh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1762125</wp:posOffset>
          </wp:positionH>
          <wp:positionV relativeFrom="paragraph">
            <wp:posOffset>2710815</wp:posOffset>
          </wp:positionV>
          <wp:extent cx="2620645" cy="1746885"/>
          <wp:effectExtent b="0" l="0" r="0" t="0"/>
          <wp:wrapNone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20645" cy="17468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1"/>
        <w:szCs w:val="21"/>
        <w:lang w:val="es-CO"/>
      </w:rPr>
    </w:rPrDefault>
    <w:pPrDefault>
      <w:pPr>
        <w:spacing w:after="20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200" w:line="288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1"/>
      <w:szCs w:val="21"/>
      <w:effect w:val="none"/>
      <w:vertAlign w:val="baseline"/>
      <w:cs w:val="0"/>
      <w:em w:val="none"/>
      <w:lang w:bidi="ar-SA" w:eastAsia="en-US" w:val="es-CO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Encabezado,encabezado,h,h8,h9,h10,h18">
    <w:name w:val="Encabezado,encabezado,h,h8,h9,h10,h18"/>
    <w:basedOn w:val="Normal"/>
    <w:next w:val="Encabezado,encabezado,h,h8,h9,h10,h18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1"/>
      <w:szCs w:val="21"/>
      <w:effect w:val="none"/>
      <w:vertAlign w:val="baseline"/>
      <w:cs w:val="0"/>
      <w:em w:val="none"/>
      <w:lang w:bidi="ar-SA" w:eastAsia="en-US" w:val="es-CO"/>
    </w:rPr>
  </w:style>
  <w:style w:type="character" w:styleId="EncabezadoCar,encabezadoCar,hCar,h8Car,h9Car,h10Car,h18Car">
    <w:name w:val="Encabezado Car,encabezado Car,h Car,h8 Car,h9 Car,h10 Car,h18 Car"/>
    <w:basedOn w:val="Fuentedepárrafopredeter."/>
    <w:next w:val="EncabezadoCar,encabezadoCar,hCar,h8Car,h9Car,h10Car,h18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1"/>
      <w:szCs w:val="21"/>
      <w:effect w:val="none"/>
      <w:vertAlign w:val="baseline"/>
      <w:cs w:val="0"/>
      <w:em w:val="none"/>
      <w:lang w:bidi="ar-SA" w:eastAsia="en-US" w:val="es-CO"/>
    </w:rPr>
  </w:style>
  <w:style w:type="character" w:styleId="PiedepáginaCar">
    <w:name w:val="Pie de página Car"/>
    <w:basedOn w:val="Fuentedepárrafopredeter."/>
    <w:next w:val="Piedepágina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cs="Segoe UI" w:eastAsia="PMingLiU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es-CO"/>
    </w:rPr>
  </w:style>
  <w:style w:type="character" w:styleId="TextodegloboCar">
    <w:name w:val="Texto de globo Car"/>
    <w:next w:val="TextodegloboCar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Hipervínculo">
    <w:name w:val="Hipervínculo"/>
    <w:next w:val="Hipervínculo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inespaciado">
    <w:name w:val="Sin espaciado"/>
    <w:next w:val="Sinespaciad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ES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1"/>
      <w:szCs w:val="21"/>
      <w:effect w:val="none"/>
      <w:vertAlign w:val="baseline"/>
      <w:cs w:val="0"/>
      <w:em w:val="none"/>
      <w:lang w:val="es-ES"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SinespaciadoCar">
    <w:name w:val="Sin espaciado Car"/>
    <w:next w:val="Sinespaciado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es-ES"/>
    </w:rPr>
  </w:style>
  <w:style w:type="paragraph" w:styleId="CM1">
    <w:name w:val="CM1"/>
    <w:basedOn w:val="Normal"/>
    <w:next w:val="Normal"/>
    <w:autoRedefine w:val="0"/>
    <w:hidden w:val="0"/>
    <w:qFormat w:val="0"/>
    <w:pPr>
      <w:suppressAutoHyphens w:val="1"/>
      <w:autoSpaceDE w:val="0"/>
      <w:autoSpaceDN w:val="0"/>
      <w:adjustRightInd w:val="0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Arial" w:cs="Arial" w:eastAsia="Calibri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es-CO" w:val="es-CO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s-CO" w:val="es-CO"/>
    </w:rPr>
  </w:style>
  <w:style w:type="character" w:styleId="Textoennegrita">
    <w:name w:val="Texto en negrita"/>
    <w:next w:val="Textoennegrita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Énfasis">
    <w:name w:val="Énfasis"/>
    <w:next w:val="Énf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4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ZUE91B3bzzcQR8vKVbnBvq2+Qg==">CgMxLjA4AHIhMTRIQVRDcjl2SEJvWnNCQ2drRjg4ZkFwYXBaXzFfdGRN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2025-02-25T10:26:00Z</dcterms:created>
  <dc:creator>MARKETING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